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419639D" w:rsidR="00C9797A" w:rsidRDefault="00E52585">
      <w:pPr>
        <w:spacing w:before="240" w:after="240"/>
        <w:jc w:val="center"/>
        <w:rPr>
          <w:b/>
        </w:rPr>
      </w:pPr>
      <w:r>
        <w:rPr>
          <w:b/>
        </w:rPr>
        <w:t>13</w:t>
      </w:r>
      <w:r w:rsidRPr="00E52585">
        <w:rPr>
          <w:b/>
          <w:vertAlign w:val="superscript"/>
        </w:rPr>
        <w:t>th</w:t>
      </w:r>
      <w:r>
        <w:rPr>
          <w:b/>
        </w:rPr>
        <w:t xml:space="preserve"> meeting of the Intergovernmental Negotiation Body (</w:t>
      </w:r>
      <w:r w:rsidR="00000000">
        <w:rPr>
          <w:b/>
        </w:rPr>
        <w:t>INB 13</w:t>
      </w:r>
      <w:r>
        <w:rPr>
          <w:b/>
        </w:rPr>
        <w:t>)</w:t>
      </w:r>
    </w:p>
    <w:p w14:paraId="00000002" w14:textId="6D114564" w:rsidR="00C9797A" w:rsidRDefault="00000000">
      <w:pPr>
        <w:spacing w:before="240" w:after="240"/>
        <w:jc w:val="center"/>
        <w:rPr>
          <w:b/>
        </w:rPr>
      </w:pPr>
      <w:r>
        <w:rPr>
          <w:b/>
        </w:rPr>
        <w:t>Statement by Third World Network made on 17 February 202</w:t>
      </w:r>
      <w:r w:rsidR="00E52585">
        <w:rPr>
          <w:b/>
        </w:rPr>
        <w:t>5</w:t>
      </w:r>
    </w:p>
    <w:p w14:paraId="00000003" w14:textId="77777777" w:rsidR="00C9797A" w:rsidRDefault="00000000">
      <w:pPr>
        <w:spacing w:before="240" w:after="240"/>
        <w:jc w:val="both"/>
      </w:pPr>
      <w:r>
        <w:t>Thank you, Chair.</w:t>
      </w:r>
    </w:p>
    <w:p w14:paraId="00000004" w14:textId="77777777" w:rsidR="00C9797A" w:rsidRDefault="00000000">
      <w:pPr>
        <w:spacing w:before="240" w:after="240"/>
        <w:jc w:val="both"/>
      </w:pPr>
      <w:r>
        <w:t>We appreciate the Bureau for their new text and acknowledge positive changes, particularly in some parts of Articles 4 and 12. However, we see areas for improvement.</w:t>
      </w:r>
    </w:p>
    <w:p w14:paraId="00000005" w14:textId="3F504FFF" w:rsidR="00C9797A" w:rsidRDefault="00000000">
      <w:pPr>
        <w:spacing w:before="240" w:after="240"/>
        <w:jc w:val="both"/>
      </w:pPr>
      <w:r>
        <w:rPr>
          <w:b/>
        </w:rPr>
        <w:t>Preamble:</w:t>
      </w:r>
      <w:r>
        <w:t xml:space="preserve"> The text does not adequately reflect the urgency and concerns that initiated the INB process. The barriers to equity faced during COVID-19 are not fully described. It must also call for practical and legally binding measures to address both the causes and consequences of pandemics that brought the world together to initiate </w:t>
      </w:r>
      <w:r w:rsidR="00E52585">
        <w:t xml:space="preserve">the </w:t>
      </w:r>
      <w:r>
        <w:t>INB.</w:t>
      </w:r>
    </w:p>
    <w:p w14:paraId="00000006" w14:textId="3BCF3EDD" w:rsidR="00C9797A" w:rsidRDefault="00000000">
      <w:pPr>
        <w:spacing w:before="240" w:after="240"/>
        <w:jc w:val="both"/>
      </w:pPr>
      <w:r>
        <w:rPr>
          <w:b/>
        </w:rPr>
        <w:t>Article 1:</w:t>
      </w:r>
      <w:r>
        <w:t xml:space="preserve"> The One Health definition states what it recognizes but not what it will do. Integrated actions on human and environmental health involve social, economic, and environmental determinants, which must be addressed equitably. We reference </w:t>
      </w:r>
      <w:r w:rsidR="00E52585">
        <w:t>the Convention on Biological Diversity (</w:t>
      </w:r>
      <w:r>
        <w:t>CBD</w:t>
      </w:r>
      <w:r w:rsidR="00E52585">
        <w:t>)</w:t>
      </w:r>
      <w:r>
        <w:t xml:space="preserve"> Decision 15/29 paragraph 2.a, urging </w:t>
      </w:r>
      <w:r w:rsidR="00E52585">
        <w:t xml:space="preserve">the </w:t>
      </w:r>
      <w:r>
        <w:t>quadripartite</w:t>
      </w:r>
      <w:r w:rsidR="00E52585">
        <w:t xml:space="preserve"> (WHO, FAO, UNEP and World Organization on Animal Health)</w:t>
      </w:r>
      <w:r>
        <w:t>,</w:t>
      </w:r>
      <w:r w:rsidR="00E52585">
        <w:t xml:space="preserve"> One Health High-Level Expert Panel (</w:t>
      </w:r>
      <w:r>
        <w:t>OHHLEP</w:t>
      </w:r>
      <w:r w:rsidR="00E52585">
        <w:t>)</w:t>
      </w:r>
      <w:r>
        <w:t>, and other agencies to incorporate social determinants and equity concerns, particularly inequalities between developed and developing countries.</w:t>
      </w:r>
    </w:p>
    <w:p w14:paraId="00000007" w14:textId="6794F3B4" w:rsidR="00C9797A" w:rsidRDefault="00000000">
      <w:pPr>
        <w:spacing w:before="240" w:after="240"/>
        <w:jc w:val="both"/>
      </w:pPr>
      <w:r>
        <w:rPr>
          <w:b/>
        </w:rPr>
        <w:t>Article 4:</w:t>
      </w:r>
      <w:r>
        <w:t xml:space="preserve"> While we welcome the efforts to improve prevention, we are concerned with the specific emphasis on surveillance as well as call for indiscriminate data/sample sharing to WHO and other agencies. The current wording risks extraction from developing to developed countries. WHO’s role must be clearly defined, ensuring all exchanges align with </w:t>
      </w:r>
      <w:r w:rsidR="00E52585">
        <w:t>the International Health Regulations (</w:t>
      </w:r>
      <w:r>
        <w:t>IHR</w:t>
      </w:r>
      <w:r w:rsidR="00E52585">
        <w:t>, as amended recently)</w:t>
      </w:r>
      <w:r>
        <w:t>.</w:t>
      </w:r>
    </w:p>
    <w:p w14:paraId="00000008" w14:textId="7E697EAD" w:rsidR="00C9797A" w:rsidRDefault="00000000">
      <w:pPr>
        <w:spacing w:before="240" w:after="240"/>
        <w:jc w:val="both"/>
      </w:pPr>
      <w:r>
        <w:t xml:space="preserve">Finally, we are concerned about the reliance on a charity-based model for technological and financial resource sharing, in </w:t>
      </w:r>
      <w:r w:rsidR="00E52585">
        <w:t>A</w:t>
      </w:r>
      <w:r>
        <w:t>rticle</w:t>
      </w:r>
      <w:r w:rsidR="00E52585">
        <w:t>s</w:t>
      </w:r>
      <w:r>
        <w:t xml:space="preserve"> 11 and 20. This would jeopardize both pandemic response and prevention, including vector control, routine immunization, and resisting </w:t>
      </w:r>
      <w:r w:rsidR="00E52585">
        <w:t>antimicrobial resistance (</w:t>
      </w:r>
      <w:r>
        <w:t>AMR</w:t>
      </w:r>
      <w:r w:rsidR="00E52585">
        <w:t>)</w:t>
      </w:r>
      <w:r>
        <w:t>. Recent global political shifts further emphasize this need. Article 11 should not limit the scope of already available law in various national and international law instruments.</w:t>
      </w:r>
    </w:p>
    <w:p w14:paraId="00000009" w14:textId="064532B6" w:rsidR="00C9797A" w:rsidRDefault="00000000">
      <w:pPr>
        <w:spacing w:before="240" w:after="240"/>
        <w:jc w:val="both"/>
      </w:pPr>
      <w:r>
        <w:t xml:space="preserve">We urge </w:t>
      </w:r>
      <w:r w:rsidR="00E52585">
        <w:t xml:space="preserve">the </w:t>
      </w:r>
      <w:r>
        <w:t>INB to address these concerns before the P</w:t>
      </w:r>
      <w:r w:rsidR="00E52585">
        <w:t xml:space="preserve">andemic </w:t>
      </w:r>
      <w:r>
        <w:t>A</w:t>
      </w:r>
      <w:r w:rsidR="00E52585">
        <w:t>greement</w:t>
      </w:r>
      <w:r>
        <w:t>’s consideration in May 2025</w:t>
      </w:r>
      <w:r w:rsidR="00E52585">
        <w:t xml:space="preserve"> (at the World Health Assembly)</w:t>
      </w:r>
      <w:r>
        <w:t>.</w:t>
      </w:r>
    </w:p>
    <w:p w14:paraId="0000000A" w14:textId="77777777" w:rsidR="00C9797A" w:rsidRDefault="00C9797A">
      <w:pPr>
        <w:jc w:val="both"/>
      </w:pPr>
    </w:p>
    <w:sectPr w:rsidR="00C9797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7A"/>
    <w:rsid w:val="00872BC3"/>
    <w:rsid w:val="00C9797A"/>
    <w:rsid w:val="00E5258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E883E"/>
  <w15:docId w15:val="{7561F85E-79E7-3D4D-B3FD-5D775309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Office365</cp:lastModifiedBy>
  <cp:revision>2</cp:revision>
  <dcterms:created xsi:type="dcterms:W3CDTF">2025-02-23T00:01:00Z</dcterms:created>
  <dcterms:modified xsi:type="dcterms:W3CDTF">2025-02-23T00:12:00Z</dcterms:modified>
</cp:coreProperties>
</file>